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AFFC9" w14:textId="50B51299" w:rsidR="00463F67" w:rsidRDefault="00314A19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C1FF9F199A84468FA93A96793AA6C6C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52F15" w:rsidRPr="00652F15">
            <w:rPr>
              <w:kern w:val="32"/>
              <w:szCs w:val="24"/>
            </w:rPr>
            <w:t>Form A10 Pilot induction training course</w:t>
          </w:r>
        </w:sdtContent>
      </w:sdt>
    </w:p>
    <w:p w14:paraId="1DB153E6" w14:textId="77777777" w:rsidR="0018323F" w:rsidRPr="002F6F85" w:rsidRDefault="0018323F" w:rsidP="0018323F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1843"/>
        <w:gridCol w:w="2120"/>
      </w:tblGrid>
      <w:tr w:rsidR="0018323F" w:rsidRPr="00102F1E" w14:paraId="7545DE2F" w14:textId="77777777" w:rsidTr="0018323F">
        <w:trPr>
          <w:trHeight w:val="446"/>
        </w:trPr>
        <w:tc>
          <w:tcPr>
            <w:tcW w:w="1838" w:type="dxa"/>
          </w:tcPr>
          <w:p w14:paraId="36EC6EA7" w14:textId="5922E8C3" w:rsidR="0018323F" w:rsidRPr="00102F1E" w:rsidRDefault="0018323F" w:rsidP="002E159E">
            <w:pPr>
              <w:rPr>
                <w:rStyle w:val="bold"/>
              </w:rPr>
            </w:pPr>
            <w:r>
              <w:rPr>
                <w:rStyle w:val="bold"/>
              </w:rPr>
              <w:t>Pilot name:</w:t>
            </w:r>
          </w:p>
        </w:tc>
        <w:tc>
          <w:tcPr>
            <w:tcW w:w="3827" w:type="dxa"/>
          </w:tcPr>
          <w:p w14:paraId="275DDD2D" w14:textId="77777777" w:rsidR="0018323F" w:rsidRPr="00102F1E" w:rsidRDefault="0018323F" w:rsidP="002E159E"/>
        </w:tc>
        <w:tc>
          <w:tcPr>
            <w:tcW w:w="1843" w:type="dxa"/>
          </w:tcPr>
          <w:p w14:paraId="56FADF63" w14:textId="77777777" w:rsidR="0018323F" w:rsidRPr="00102F1E" w:rsidRDefault="0018323F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7158C336" w14:textId="77777777" w:rsidR="0018323F" w:rsidRPr="00102F1E" w:rsidRDefault="0018323F" w:rsidP="002E159E"/>
        </w:tc>
      </w:tr>
      <w:tr w:rsidR="0018323F" w:rsidRPr="00102F1E" w14:paraId="307767C3" w14:textId="77777777" w:rsidTr="0018323F">
        <w:trPr>
          <w:trHeight w:val="424"/>
        </w:trPr>
        <w:tc>
          <w:tcPr>
            <w:tcW w:w="1838" w:type="dxa"/>
          </w:tcPr>
          <w:p w14:paraId="14699CC0" w14:textId="3AEE0B0A" w:rsidR="0018323F" w:rsidRPr="00102F1E" w:rsidRDefault="0018323F" w:rsidP="002E159E">
            <w:pPr>
              <w:rPr>
                <w:rStyle w:val="bold"/>
              </w:rPr>
            </w:pPr>
            <w:r>
              <w:rPr>
                <w:rStyle w:val="bold"/>
              </w:rPr>
              <w:t>Trainer name:</w:t>
            </w:r>
          </w:p>
        </w:tc>
        <w:tc>
          <w:tcPr>
            <w:tcW w:w="3827" w:type="dxa"/>
          </w:tcPr>
          <w:p w14:paraId="32AF25FA" w14:textId="77777777" w:rsidR="0018323F" w:rsidRPr="00102F1E" w:rsidRDefault="0018323F" w:rsidP="002E159E"/>
        </w:tc>
        <w:tc>
          <w:tcPr>
            <w:tcW w:w="1843" w:type="dxa"/>
          </w:tcPr>
          <w:p w14:paraId="0450B274" w14:textId="77777777" w:rsidR="0018323F" w:rsidRPr="00102F1E" w:rsidRDefault="0018323F" w:rsidP="002E159E">
            <w:pPr>
              <w:rPr>
                <w:rStyle w:val="bold"/>
              </w:rPr>
            </w:pPr>
            <w:r>
              <w:rPr>
                <w:rStyle w:val="bold"/>
              </w:rPr>
              <w:t>Date of training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120" w:type="dxa"/>
          </w:tcPr>
          <w:p w14:paraId="26DABC52" w14:textId="77777777" w:rsidR="0018323F" w:rsidRPr="00102F1E" w:rsidRDefault="0018323F" w:rsidP="002E159E"/>
        </w:tc>
      </w:tr>
    </w:tbl>
    <w:p w14:paraId="6D0BE4AD" w14:textId="77777777" w:rsidR="007E5541" w:rsidRPr="00A96FED" w:rsidRDefault="007E5541" w:rsidP="008A256F">
      <w:pPr>
        <w:pStyle w:val="Header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359"/>
        <w:gridCol w:w="1275"/>
      </w:tblGrid>
      <w:tr w:rsidR="007E5541" w:rsidRPr="00A96FED" w14:paraId="238E94A5" w14:textId="77777777" w:rsidTr="00183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"/>
          <w:tblHeader/>
        </w:trPr>
        <w:tc>
          <w:tcPr>
            <w:tcW w:w="8359" w:type="dxa"/>
          </w:tcPr>
          <w:p w14:paraId="7C50C1CC" w14:textId="77777777" w:rsidR="007E5541" w:rsidRPr="000D5BEA" w:rsidRDefault="007E5541" w:rsidP="00F3353D">
            <w:r w:rsidRPr="00A96FED">
              <w:t>Subjects / Discussion points</w:t>
            </w:r>
          </w:p>
        </w:tc>
        <w:tc>
          <w:tcPr>
            <w:tcW w:w="1275" w:type="dxa"/>
          </w:tcPr>
          <w:p w14:paraId="4127A02D" w14:textId="77777777" w:rsidR="007E5541" w:rsidRPr="000D5BEA" w:rsidRDefault="007E5541" w:rsidP="00F3353D">
            <w:r w:rsidRPr="00A96FED">
              <w:t>Complete</w:t>
            </w:r>
          </w:p>
          <w:p w14:paraId="2838BBEF" w14:textId="77777777" w:rsidR="007E5541" w:rsidRPr="000D5BEA" w:rsidRDefault="007E5541" w:rsidP="00F3353D">
            <w:r w:rsidRPr="00A96FED">
              <w:t>Yes / No</w:t>
            </w:r>
          </w:p>
        </w:tc>
      </w:tr>
      <w:tr w:rsidR="007E5541" w:rsidRPr="00A96FED" w14:paraId="32280E56" w14:textId="77777777" w:rsidTr="0018323F">
        <w:trPr>
          <w:trHeight w:val="90"/>
        </w:trPr>
        <w:tc>
          <w:tcPr>
            <w:tcW w:w="8359" w:type="dxa"/>
          </w:tcPr>
          <w:p w14:paraId="2FE94919" w14:textId="77777777" w:rsidR="007E5541" w:rsidRPr="000D5BEA" w:rsidRDefault="007E5541" w:rsidP="00F3353D">
            <w:pPr>
              <w:pStyle w:val="Tabletext"/>
            </w:pPr>
            <w:r w:rsidRPr="00A96FED">
              <w:t xml:space="preserve">Company training and assessment program </w:t>
            </w:r>
          </w:p>
        </w:tc>
        <w:tc>
          <w:tcPr>
            <w:tcW w:w="1275" w:type="dxa"/>
          </w:tcPr>
          <w:p w14:paraId="23A5FEAE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187DDF80" w14:textId="77777777" w:rsidTr="0018323F">
        <w:trPr>
          <w:trHeight w:val="19"/>
        </w:trPr>
        <w:tc>
          <w:tcPr>
            <w:tcW w:w="8359" w:type="dxa"/>
          </w:tcPr>
          <w:p w14:paraId="45BACAC4" w14:textId="77777777" w:rsidR="007E5541" w:rsidRPr="000D5BEA" w:rsidRDefault="007E5541" w:rsidP="00F3353D">
            <w:pPr>
              <w:pStyle w:val="Tabletext"/>
            </w:pPr>
            <w:r w:rsidRPr="00A96FED">
              <w:t>Outline of company structure and governance</w:t>
            </w:r>
          </w:p>
        </w:tc>
        <w:tc>
          <w:tcPr>
            <w:tcW w:w="1275" w:type="dxa"/>
          </w:tcPr>
          <w:p w14:paraId="2A018CA8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0743C8D6" w14:textId="77777777" w:rsidTr="0018323F">
        <w:trPr>
          <w:trHeight w:val="19"/>
        </w:trPr>
        <w:tc>
          <w:tcPr>
            <w:tcW w:w="8359" w:type="dxa"/>
          </w:tcPr>
          <w:p w14:paraId="2FF3FC81" w14:textId="77777777" w:rsidR="007E5541" w:rsidRPr="000D5BEA" w:rsidRDefault="007E5541" w:rsidP="00F3353D">
            <w:pPr>
              <w:pStyle w:val="Tabletext"/>
            </w:pPr>
            <w:r w:rsidRPr="00A96FED">
              <w:t xml:space="preserve">Authorised </w:t>
            </w:r>
            <w:r w:rsidRPr="000D5BEA">
              <w:t>activities conducted by the company</w:t>
            </w:r>
          </w:p>
        </w:tc>
        <w:tc>
          <w:tcPr>
            <w:tcW w:w="1275" w:type="dxa"/>
          </w:tcPr>
          <w:p w14:paraId="3E2AB3E2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47A89912" w14:textId="77777777" w:rsidTr="0018323F">
        <w:trPr>
          <w:trHeight w:val="19"/>
        </w:trPr>
        <w:tc>
          <w:tcPr>
            <w:tcW w:w="8359" w:type="dxa"/>
          </w:tcPr>
          <w:p w14:paraId="4E7C6427" w14:textId="77777777" w:rsidR="007E5541" w:rsidRPr="000D5BEA" w:rsidRDefault="007E5541" w:rsidP="00F3353D">
            <w:pPr>
              <w:pStyle w:val="Tabletext"/>
            </w:pPr>
            <w:r w:rsidRPr="00A96FED">
              <w:t>Company exposition content, structure and amendment processes</w:t>
            </w:r>
          </w:p>
        </w:tc>
        <w:tc>
          <w:tcPr>
            <w:tcW w:w="1275" w:type="dxa"/>
          </w:tcPr>
          <w:p w14:paraId="151AFEAB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227C922C" w14:textId="77777777" w:rsidTr="0018323F">
        <w:trPr>
          <w:trHeight w:val="19"/>
        </w:trPr>
        <w:tc>
          <w:tcPr>
            <w:tcW w:w="8359" w:type="dxa"/>
          </w:tcPr>
          <w:p w14:paraId="2A053529" w14:textId="77777777" w:rsidR="007E5541" w:rsidRPr="000D5BEA" w:rsidRDefault="007E5541" w:rsidP="00F3353D">
            <w:pPr>
              <w:pStyle w:val="Tabletext"/>
            </w:pPr>
            <w:r w:rsidRPr="00A96FED">
              <w:t xml:space="preserve">Company safety policy and management principles </w:t>
            </w:r>
          </w:p>
        </w:tc>
        <w:tc>
          <w:tcPr>
            <w:tcW w:w="1275" w:type="dxa"/>
          </w:tcPr>
          <w:p w14:paraId="24D535C5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0302171C" w14:textId="77777777" w:rsidTr="0018323F">
        <w:trPr>
          <w:trHeight w:val="19"/>
        </w:trPr>
        <w:tc>
          <w:tcPr>
            <w:tcW w:w="8359" w:type="dxa"/>
          </w:tcPr>
          <w:p w14:paraId="20006007" w14:textId="77777777" w:rsidR="007E5541" w:rsidRPr="000D5BEA" w:rsidRDefault="007E5541" w:rsidP="00F3353D">
            <w:pPr>
              <w:pStyle w:val="Tabletext"/>
            </w:pPr>
            <w:r w:rsidRPr="00A96FED">
              <w:t>Aircraft engineering training and questionnaire</w:t>
            </w:r>
          </w:p>
        </w:tc>
        <w:tc>
          <w:tcPr>
            <w:tcW w:w="1275" w:type="dxa"/>
          </w:tcPr>
          <w:p w14:paraId="4970AF4E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28F4AC0E" w14:textId="77777777" w:rsidTr="0018323F">
        <w:trPr>
          <w:trHeight w:val="19"/>
        </w:trPr>
        <w:tc>
          <w:tcPr>
            <w:tcW w:w="8359" w:type="dxa"/>
          </w:tcPr>
          <w:p w14:paraId="023D4380" w14:textId="77777777" w:rsidR="007E5541" w:rsidRPr="000D5BEA" w:rsidRDefault="007E5541" w:rsidP="00F3353D">
            <w:pPr>
              <w:pStyle w:val="Tabletext"/>
            </w:pPr>
            <w:r w:rsidRPr="00A96FED">
              <w:t xml:space="preserve">Aircraft refuelling including drum stock </w:t>
            </w:r>
            <w:r w:rsidRPr="000D5BEA">
              <w:t>procedures</w:t>
            </w:r>
          </w:p>
        </w:tc>
        <w:tc>
          <w:tcPr>
            <w:tcW w:w="1275" w:type="dxa"/>
          </w:tcPr>
          <w:p w14:paraId="03532D12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514EB4B1" w14:textId="77777777" w:rsidTr="0018323F">
        <w:trPr>
          <w:trHeight w:val="19"/>
        </w:trPr>
        <w:tc>
          <w:tcPr>
            <w:tcW w:w="8359" w:type="dxa"/>
          </w:tcPr>
          <w:p w14:paraId="4D7960DB" w14:textId="77777777" w:rsidR="007E5541" w:rsidRPr="000D5BEA" w:rsidRDefault="007E5541" w:rsidP="00F3353D">
            <w:pPr>
              <w:pStyle w:val="Tabletext"/>
            </w:pPr>
            <w:r w:rsidRPr="00A96FED">
              <w:t>Aircraft daily inspection and certification</w:t>
            </w:r>
          </w:p>
        </w:tc>
        <w:tc>
          <w:tcPr>
            <w:tcW w:w="1275" w:type="dxa"/>
          </w:tcPr>
          <w:p w14:paraId="44858511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0DC03865" w14:textId="77777777" w:rsidTr="0018323F">
        <w:trPr>
          <w:trHeight w:val="19"/>
        </w:trPr>
        <w:tc>
          <w:tcPr>
            <w:tcW w:w="8359" w:type="dxa"/>
          </w:tcPr>
          <w:p w14:paraId="5376CA22" w14:textId="77777777" w:rsidR="007E5541" w:rsidRPr="000D5BEA" w:rsidRDefault="007E5541" w:rsidP="00F3353D">
            <w:pPr>
              <w:pStyle w:val="Tabletext"/>
            </w:pPr>
            <w:r w:rsidRPr="00A96FED">
              <w:t>Management of aircraft serviceability and defect reporting</w:t>
            </w:r>
          </w:p>
        </w:tc>
        <w:tc>
          <w:tcPr>
            <w:tcW w:w="1275" w:type="dxa"/>
          </w:tcPr>
          <w:p w14:paraId="0F356068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6EC6E2D8" w14:textId="77777777" w:rsidTr="0018323F">
        <w:trPr>
          <w:trHeight w:val="19"/>
        </w:trPr>
        <w:tc>
          <w:tcPr>
            <w:tcW w:w="8359" w:type="dxa"/>
          </w:tcPr>
          <w:p w14:paraId="22404087" w14:textId="77777777" w:rsidR="007E5541" w:rsidRPr="000D5BEA" w:rsidRDefault="007E5541" w:rsidP="00F3353D">
            <w:pPr>
              <w:pStyle w:val="Tabletext"/>
            </w:pPr>
            <w:r>
              <w:t>Procedures for dealing with defect</w:t>
            </w:r>
            <w:r w:rsidRPr="000D5BEA">
              <w:t>s when contact with operator/LAME not available</w:t>
            </w:r>
          </w:p>
        </w:tc>
        <w:tc>
          <w:tcPr>
            <w:tcW w:w="1275" w:type="dxa"/>
          </w:tcPr>
          <w:p w14:paraId="15F8399C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4AC92EC3" w14:textId="77777777" w:rsidTr="0018323F">
        <w:trPr>
          <w:trHeight w:val="19"/>
        </w:trPr>
        <w:tc>
          <w:tcPr>
            <w:tcW w:w="8359" w:type="dxa"/>
          </w:tcPr>
          <w:p w14:paraId="5EF97C1E" w14:textId="77777777" w:rsidR="007E5541" w:rsidRPr="000D5BEA" w:rsidRDefault="007E5541" w:rsidP="00F3353D">
            <w:pPr>
              <w:pStyle w:val="Tabletext"/>
            </w:pPr>
            <w:r w:rsidRPr="00A96FED">
              <w:t>Pilot maintenance training and certification</w:t>
            </w:r>
          </w:p>
        </w:tc>
        <w:tc>
          <w:tcPr>
            <w:tcW w:w="1275" w:type="dxa"/>
          </w:tcPr>
          <w:p w14:paraId="241B6A49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38D7D94E" w14:textId="77777777" w:rsidTr="0018323F">
        <w:trPr>
          <w:trHeight w:val="50"/>
        </w:trPr>
        <w:tc>
          <w:tcPr>
            <w:tcW w:w="8359" w:type="dxa"/>
          </w:tcPr>
          <w:p w14:paraId="2313CA2E" w14:textId="77777777" w:rsidR="007E5541" w:rsidRPr="000D5BEA" w:rsidRDefault="007E5541" w:rsidP="00F3353D">
            <w:pPr>
              <w:pStyle w:val="Tabletext"/>
            </w:pPr>
            <w:r w:rsidRPr="00A96FED">
              <w:t>Hazard and risk assessment and mitigation procedures for operations</w:t>
            </w:r>
          </w:p>
        </w:tc>
        <w:tc>
          <w:tcPr>
            <w:tcW w:w="1275" w:type="dxa"/>
          </w:tcPr>
          <w:p w14:paraId="49400A4C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1A4DC039" w14:textId="77777777" w:rsidTr="0018323F">
        <w:trPr>
          <w:trHeight w:val="19"/>
        </w:trPr>
        <w:tc>
          <w:tcPr>
            <w:tcW w:w="8359" w:type="dxa"/>
          </w:tcPr>
          <w:p w14:paraId="4BB85B0E" w14:textId="77777777" w:rsidR="007E5541" w:rsidRPr="000D5BEA" w:rsidRDefault="007E5541" w:rsidP="00F3353D">
            <w:pPr>
              <w:pStyle w:val="Tabletext"/>
            </w:pPr>
            <w:r w:rsidRPr="00A96FED">
              <w:t>Rostering and fatigue management</w:t>
            </w:r>
          </w:p>
        </w:tc>
        <w:tc>
          <w:tcPr>
            <w:tcW w:w="1275" w:type="dxa"/>
          </w:tcPr>
          <w:p w14:paraId="7A89FA21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491B9197" w14:textId="77777777" w:rsidTr="0018323F">
        <w:trPr>
          <w:trHeight w:val="19"/>
        </w:trPr>
        <w:tc>
          <w:tcPr>
            <w:tcW w:w="8359" w:type="dxa"/>
          </w:tcPr>
          <w:p w14:paraId="33D4047A" w14:textId="77777777" w:rsidR="007E5541" w:rsidRPr="000D5BEA" w:rsidRDefault="007E5541" w:rsidP="00F3353D">
            <w:pPr>
              <w:pStyle w:val="Tabletext"/>
            </w:pPr>
            <w:r w:rsidRPr="00A96FED">
              <w:t>Remote base operational procedures</w:t>
            </w:r>
          </w:p>
        </w:tc>
        <w:tc>
          <w:tcPr>
            <w:tcW w:w="1275" w:type="dxa"/>
          </w:tcPr>
          <w:p w14:paraId="67BC97E1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7BC8BEA7" w14:textId="77777777" w:rsidTr="0018323F">
        <w:trPr>
          <w:trHeight w:val="19"/>
        </w:trPr>
        <w:tc>
          <w:tcPr>
            <w:tcW w:w="8359" w:type="dxa"/>
          </w:tcPr>
          <w:p w14:paraId="41AD3B8D" w14:textId="77777777" w:rsidR="007E5541" w:rsidRPr="000D5BEA" w:rsidRDefault="007E5541" w:rsidP="00F3353D">
            <w:pPr>
              <w:pStyle w:val="Tabletext"/>
            </w:pPr>
            <w:r w:rsidRPr="00A96FED">
              <w:t>Company DAMP induction</w:t>
            </w:r>
          </w:p>
        </w:tc>
        <w:tc>
          <w:tcPr>
            <w:tcW w:w="1275" w:type="dxa"/>
          </w:tcPr>
          <w:p w14:paraId="2DD26711" w14:textId="77777777" w:rsidR="007E5541" w:rsidRPr="00A96FED" w:rsidRDefault="007E5541" w:rsidP="00F3353D">
            <w:pPr>
              <w:pStyle w:val="Tabletext"/>
            </w:pPr>
          </w:p>
        </w:tc>
      </w:tr>
      <w:tr w:rsidR="007E5541" w:rsidRPr="00A96FED" w14:paraId="72AA8EDE" w14:textId="77777777" w:rsidTr="0018323F">
        <w:trPr>
          <w:trHeight w:val="19"/>
        </w:trPr>
        <w:tc>
          <w:tcPr>
            <w:tcW w:w="8359" w:type="dxa"/>
          </w:tcPr>
          <w:p w14:paraId="5F4717CF" w14:textId="77777777" w:rsidR="007E5541" w:rsidRPr="000D5BEA" w:rsidRDefault="007E5541" w:rsidP="00F3353D">
            <w:pPr>
              <w:pStyle w:val="Tabletext"/>
            </w:pPr>
            <w:r w:rsidRPr="00A96FED">
              <w:t>Completion of CASA ‘Alcohol and other Drugs’ eLearning module</w:t>
            </w:r>
          </w:p>
        </w:tc>
        <w:tc>
          <w:tcPr>
            <w:tcW w:w="1275" w:type="dxa"/>
          </w:tcPr>
          <w:p w14:paraId="456945E0" w14:textId="77777777" w:rsidR="007E5541" w:rsidRPr="00A96FED" w:rsidRDefault="007E5541" w:rsidP="00F3353D">
            <w:pPr>
              <w:pStyle w:val="Tabletext"/>
            </w:pPr>
          </w:p>
        </w:tc>
      </w:tr>
    </w:tbl>
    <w:p w14:paraId="36D97DF3" w14:textId="26866A4F" w:rsidR="0018323F" w:rsidRDefault="0018323F" w:rsidP="0018323F">
      <w:pPr>
        <w:pStyle w:val="NotesBoxHeading"/>
      </w:pPr>
      <w:r>
        <w:t>Comments</w:t>
      </w:r>
    </w:p>
    <w:p w14:paraId="2C7DE6E8" w14:textId="77777777" w:rsidR="0018323F" w:rsidRDefault="0018323F" w:rsidP="0018323F">
      <w:pPr>
        <w:pStyle w:val="NotesBoxText"/>
      </w:pPr>
    </w:p>
    <w:p w14:paraId="38F259DA" w14:textId="77777777" w:rsidR="008A256F" w:rsidRDefault="008A256F" w:rsidP="0018323F">
      <w:pPr>
        <w:pStyle w:val="NotesBoxText"/>
      </w:pPr>
    </w:p>
    <w:p w14:paraId="1B7E8176" w14:textId="77777777" w:rsidR="008A256F" w:rsidRPr="003C2B3F" w:rsidRDefault="008A256F" w:rsidP="008A256F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5F394975" w14:textId="77777777" w:rsidR="008A256F" w:rsidRPr="003C2B3F" w:rsidRDefault="008A256F" w:rsidP="008A256F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8A256F" w:rsidRPr="00916430" w14:paraId="23A061CA" w14:textId="77777777" w:rsidTr="002E159E">
        <w:trPr>
          <w:trHeight w:val="582"/>
        </w:trPr>
        <w:tc>
          <w:tcPr>
            <w:tcW w:w="2570" w:type="dxa"/>
          </w:tcPr>
          <w:p w14:paraId="33C3F32F" w14:textId="77777777" w:rsidR="008A256F" w:rsidRPr="00D642BC" w:rsidRDefault="008A256F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F551834" w14:textId="77777777" w:rsidR="008A256F" w:rsidRPr="00FF4792" w:rsidRDefault="008A256F" w:rsidP="002E159E">
            <w:pPr>
              <w:pStyle w:val="normalafterlisttable"/>
            </w:pPr>
          </w:p>
        </w:tc>
        <w:tc>
          <w:tcPr>
            <w:tcW w:w="807" w:type="dxa"/>
          </w:tcPr>
          <w:p w14:paraId="7E8E83B0" w14:textId="77777777" w:rsidR="008A256F" w:rsidRPr="00D642BC" w:rsidRDefault="008A256F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C5F006E" w14:textId="77777777" w:rsidR="008A256F" w:rsidRPr="00916430" w:rsidRDefault="008A256F" w:rsidP="002E159E">
            <w:pPr>
              <w:pStyle w:val="normalafterlisttable"/>
            </w:pPr>
          </w:p>
        </w:tc>
      </w:tr>
    </w:tbl>
    <w:p w14:paraId="5AD45673" w14:textId="77777777" w:rsidR="008A256F" w:rsidRPr="00E1736E" w:rsidRDefault="008A256F" w:rsidP="002B77D4">
      <w:pPr>
        <w:pStyle w:val="SourceNotes"/>
      </w:pPr>
    </w:p>
    <w:sectPr w:rsidR="008A256F" w:rsidRPr="00E1736E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29BB5" w14:textId="77777777" w:rsidR="00116B9A" w:rsidRDefault="00116B9A" w:rsidP="008E21DE">
      <w:pPr>
        <w:spacing w:before="0" w:after="0"/>
      </w:pPr>
      <w:r>
        <w:separator/>
      </w:r>
    </w:p>
    <w:p w14:paraId="2CDC1951" w14:textId="77777777" w:rsidR="00116B9A" w:rsidRDefault="00116B9A"/>
  </w:endnote>
  <w:endnote w:type="continuationSeparator" w:id="0">
    <w:p w14:paraId="023AC337" w14:textId="77777777" w:rsidR="00116B9A" w:rsidRDefault="00116B9A" w:rsidP="008E21DE">
      <w:pPr>
        <w:spacing w:before="0" w:after="0"/>
      </w:pPr>
      <w:r>
        <w:continuationSeparator/>
      </w:r>
    </w:p>
    <w:p w14:paraId="235FB6A0" w14:textId="77777777" w:rsidR="00116B9A" w:rsidRDefault="00116B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C4376" w14:textId="23D1A162" w:rsidR="00013309" w:rsidRPr="00500DA0" w:rsidRDefault="00314A19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C1FF9F199A84468FA93A96793AA6C6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52F15">
          <w:rPr>
            <w:rFonts w:ascii="ArialMT" w:hAnsi="ArialMT" w:cs="ArialMT"/>
            <w:szCs w:val="16"/>
          </w:rPr>
          <w:t>Form A10 Pilot induction training course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41BC" w14:textId="77777777" w:rsidR="00013309" w:rsidRDefault="00013309" w:rsidP="00013309">
    <w:pPr>
      <w:pStyle w:val="Footer"/>
    </w:pPr>
    <w:r>
      <w:t>Civil Aviation Safety Authority</w:t>
    </w:r>
  </w:p>
  <w:p w14:paraId="1E4192CE" w14:textId="0A6DAB4F" w:rsidR="00013309" w:rsidRDefault="00314A19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52F15">
          <w:rPr>
            <w:rFonts w:ascii="ArialMT" w:hAnsi="ArialMT" w:cs="ArialMT"/>
            <w:szCs w:val="16"/>
          </w:rPr>
          <w:t>Form A10 Pilot induction training course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652F15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652F15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4A9A394" w14:textId="77777777" w:rsidR="00013309" w:rsidRPr="00A365CA" w:rsidRDefault="00314A19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1A2B6E1" wp14:editId="4A4EA4DD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1784EE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A2B6E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61784EE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CC140" w14:textId="77777777" w:rsidR="00116B9A" w:rsidRPr="0022402E" w:rsidRDefault="00116B9A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0EFAB9D8" w14:textId="77777777" w:rsidR="00116B9A" w:rsidRDefault="00116B9A" w:rsidP="008E21DE">
      <w:pPr>
        <w:spacing w:before="0" w:after="0"/>
      </w:pPr>
      <w:r>
        <w:continuationSeparator/>
      </w:r>
    </w:p>
    <w:p w14:paraId="43B856D4" w14:textId="77777777" w:rsidR="00116B9A" w:rsidRDefault="00116B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C653" w14:textId="77777777" w:rsidR="00DD684D" w:rsidRDefault="00DD684D" w:rsidP="00DD684D">
    <w:pPr>
      <w:pStyle w:val="Header"/>
    </w:pPr>
    <w:r>
      <w:t>ORGANISATION NAME/DETAILS</w:t>
    </w:r>
  </w:p>
  <w:p w14:paraId="76C23EBB" w14:textId="77777777" w:rsidR="00013309" w:rsidRPr="00DD684D" w:rsidRDefault="00314A19" w:rsidP="002B77D4">
    <w:pPr>
      <w:pStyle w:val="Header"/>
      <w:spacing w:after="120"/>
    </w:pPr>
    <w:r>
      <w:pict w14:anchorId="55762CD4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6EE6C" w14:textId="77777777" w:rsidR="00463F67" w:rsidRDefault="00314A19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15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16B9A"/>
    <w:rsid w:val="0012631E"/>
    <w:rsid w:val="00143430"/>
    <w:rsid w:val="00145276"/>
    <w:rsid w:val="00167A69"/>
    <w:rsid w:val="00176B72"/>
    <w:rsid w:val="0018323F"/>
    <w:rsid w:val="00195255"/>
    <w:rsid w:val="00222CED"/>
    <w:rsid w:val="0022402E"/>
    <w:rsid w:val="0024420C"/>
    <w:rsid w:val="002573ED"/>
    <w:rsid w:val="002804D3"/>
    <w:rsid w:val="00280A2B"/>
    <w:rsid w:val="0028675C"/>
    <w:rsid w:val="002A42D7"/>
    <w:rsid w:val="002B77D4"/>
    <w:rsid w:val="002F3747"/>
    <w:rsid w:val="002F455A"/>
    <w:rsid w:val="00314A19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2F15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D3364"/>
    <w:rsid w:val="007E5541"/>
    <w:rsid w:val="00805C1D"/>
    <w:rsid w:val="00822749"/>
    <w:rsid w:val="0082494A"/>
    <w:rsid w:val="00841B5A"/>
    <w:rsid w:val="00876B16"/>
    <w:rsid w:val="00883AB1"/>
    <w:rsid w:val="00884576"/>
    <w:rsid w:val="008A256F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E0473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17E89"/>
    <w:rsid w:val="00E20E30"/>
    <w:rsid w:val="00E2309B"/>
    <w:rsid w:val="00E5425D"/>
    <w:rsid w:val="00E67411"/>
    <w:rsid w:val="00E70E31"/>
    <w:rsid w:val="00E819EA"/>
    <w:rsid w:val="00E9794A"/>
    <w:rsid w:val="00EF4556"/>
    <w:rsid w:val="00F1380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9DD166"/>
  <w15:chartTrackingRefBased/>
  <w15:docId w15:val="{E5EE288D-3804-4781-BB95-89D76433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652F15"/>
    <w:rPr>
      <w:kern w:val="32"/>
    </w:rPr>
  </w:style>
  <w:style w:type="paragraph" w:customStyle="1" w:styleId="Tabletext">
    <w:name w:val="Table text"/>
    <w:basedOn w:val="Normal"/>
    <w:qFormat/>
    <w:rsid w:val="007E5541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7E5541"/>
    <w:rPr>
      <w:b/>
      <w:bCs/>
    </w:rPr>
  </w:style>
  <w:style w:type="table" w:customStyle="1" w:styleId="SD-MOStable">
    <w:name w:val="SD - MOS table"/>
    <w:basedOn w:val="TableNormal"/>
    <w:uiPriority w:val="99"/>
    <w:rsid w:val="007E5541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7E5541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18323F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8A256F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1FF9F199A84468FA93A96793AA6C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9C48B-D3EB-49FA-A51A-D85E249F37CB}"/>
      </w:docPartPr>
      <w:docPartBody>
        <w:p w:rsidR="00533673" w:rsidRDefault="00533673">
          <w:pPr>
            <w:pStyle w:val="C1FF9F199A84468FA93A96793AA6C6C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55"/>
    <w:rsid w:val="00243055"/>
    <w:rsid w:val="0036596C"/>
    <w:rsid w:val="00533673"/>
    <w:rsid w:val="005A7D1B"/>
    <w:rsid w:val="00D26448"/>
    <w:rsid w:val="00E20E30"/>
    <w:rsid w:val="00E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1FF9F199A84468FA93A96793AA6C6CF">
    <w:name w:val="C1FF9F199A84468FA93A96793AA6C6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147bc000-5d24-4a58-bdb3-1d507d54dc98"/>
    <ds:schemaRef ds:uri="09d1133f-994b-4ec9-8bcd-76b1f6ed9a8c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14</TotalTime>
  <Pages>1</Pages>
  <Words>163</Words>
  <Characters>912</Characters>
  <Application>Microsoft Office Word</Application>
  <DocSecurity>0</DocSecurity>
  <Lines>304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A10 Pilot induction training course</vt:lpstr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A10 Pilot induction training course</dc:title>
  <dc:subject/>
  <dc:creator>Bartholomew, Tina</dc:creator>
  <cp:keywords/>
  <dc:description/>
  <cp:lastModifiedBy>Bartholomew, Tina</cp:lastModifiedBy>
  <cp:revision>13</cp:revision>
  <dcterms:created xsi:type="dcterms:W3CDTF">2025-11-24T00:02:00Z</dcterms:created>
  <dcterms:modified xsi:type="dcterms:W3CDTF">2025-11-25T04:53:00Z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NOS-2025-0044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